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85" w:rsidRPr="00CD4685" w:rsidRDefault="00961323" w:rsidP="00CD4685">
      <w:pPr>
        <w:spacing w:after="0" w:line="276" w:lineRule="auto"/>
        <w:ind w:left="-567"/>
        <w:rPr>
          <w:b/>
          <w:noProof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t xml:space="preserve">   </w:t>
      </w:r>
      <w:r w:rsidR="00CD4685" w:rsidRPr="00CD4685">
        <w:rPr>
          <w:b/>
          <w:noProof/>
          <w:lang w:eastAsia="hr-HR"/>
        </w:rPr>
        <w:t>HOTELIJERSKO- TURISTIČKA I UGOSTITELJSKA ŠKOLA ZADAR</w:t>
      </w:r>
    </w:p>
    <w:p w:rsidR="00CD4685" w:rsidRPr="00CD4685" w:rsidRDefault="00961323" w:rsidP="00CD4685">
      <w:pPr>
        <w:spacing w:after="0" w:line="276" w:lineRule="auto"/>
        <w:ind w:left="-567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</w:t>
      </w:r>
      <w:r w:rsidR="00CD4685" w:rsidRPr="00CD4685">
        <w:rPr>
          <w:b/>
          <w:noProof/>
          <w:lang w:eastAsia="hr-HR"/>
        </w:rPr>
        <w:t>Antuna Gustava Matoša 40, 23000 Zadar</w:t>
      </w:r>
    </w:p>
    <w:p w:rsidR="00CD4685" w:rsidRDefault="00961323" w:rsidP="00CD4685">
      <w:pPr>
        <w:spacing w:after="0" w:line="240" w:lineRule="auto"/>
        <w:ind w:left="-567"/>
        <w:rPr>
          <w:noProof/>
          <w:lang w:eastAsia="hr-HR"/>
        </w:rPr>
      </w:pPr>
      <w:r>
        <w:rPr>
          <w:noProof/>
          <w:lang w:eastAsia="hr-HR"/>
        </w:rPr>
        <w:t xml:space="preserve">   </w:t>
      </w:r>
      <w:r w:rsidR="00CD4685" w:rsidRPr="00CD4685">
        <w:rPr>
          <w:noProof/>
          <w:lang w:eastAsia="hr-HR"/>
        </w:rPr>
        <w:t>OIB:</w:t>
      </w:r>
      <w:r w:rsidR="00CD4685">
        <w:rPr>
          <w:noProof/>
          <w:lang w:eastAsia="hr-HR"/>
        </w:rPr>
        <w:t xml:space="preserve"> 91757782000</w:t>
      </w:r>
    </w:p>
    <w:p w:rsidR="00CD4685" w:rsidRDefault="00961323" w:rsidP="00CD4685">
      <w:pPr>
        <w:spacing w:after="0" w:line="240" w:lineRule="auto"/>
        <w:ind w:left="-567"/>
        <w:rPr>
          <w:noProof/>
          <w:lang w:eastAsia="hr-HR"/>
        </w:rPr>
      </w:pPr>
      <w:r>
        <w:rPr>
          <w:noProof/>
          <w:lang w:eastAsia="hr-HR"/>
        </w:rPr>
        <w:t xml:space="preserve">   </w:t>
      </w:r>
      <w:r w:rsidR="00CD4685" w:rsidRPr="00CD4685">
        <w:rPr>
          <w:noProof/>
          <w:lang w:eastAsia="hr-HR"/>
        </w:rPr>
        <w:t>Tel: 023 335 -295</w:t>
      </w:r>
      <w:r w:rsidR="00CD4685">
        <w:rPr>
          <w:noProof/>
          <w:lang w:eastAsia="hr-HR"/>
        </w:rPr>
        <w:t xml:space="preserve">     Email: </w:t>
      </w:r>
      <w:hyperlink r:id="rId5" w:history="1">
        <w:r w:rsidR="00CD4685" w:rsidRPr="00AF4487">
          <w:rPr>
            <w:rStyle w:val="Hiperveza"/>
            <w:noProof/>
            <w:lang w:eastAsia="hr-HR"/>
          </w:rPr>
          <w:t>htus@htus.htnet.hr</w:t>
        </w:r>
      </w:hyperlink>
    </w:p>
    <w:p w:rsidR="00CD4685" w:rsidRDefault="00CD4685" w:rsidP="00CD4685">
      <w:pPr>
        <w:spacing w:after="0" w:line="240" w:lineRule="auto"/>
        <w:ind w:left="-567" w:right="-426"/>
        <w:rPr>
          <w:rFonts w:cs="Times New Roman"/>
          <w:noProof/>
          <w:lang w:eastAsia="hr-HR"/>
        </w:rPr>
      </w:pPr>
    </w:p>
    <w:p w:rsidR="00CD4685" w:rsidRDefault="00CD4685" w:rsidP="00CD4685">
      <w:pPr>
        <w:spacing w:after="0" w:line="240" w:lineRule="auto"/>
        <w:ind w:left="-567" w:right="-426"/>
        <w:rPr>
          <w:rFonts w:cs="Times New Roman"/>
          <w:noProof/>
          <w:lang w:eastAsia="hr-HR"/>
        </w:rPr>
      </w:pPr>
    </w:p>
    <w:p w:rsidR="009F46F2" w:rsidRDefault="009F46F2" w:rsidP="009F46F2">
      <w:pPr>
        <w:spacing w:after="0" w:line="276" w:lineRule="auto"/>
        <w:jc w:val="right"/>
        <w:rPr>
          <w:b/>
          <w:noProof/>
          <w:lang w:eastAsia="hr-HR"/>
        </w:rPr>
      </w:pPr>
    </w:p>
    <w:p w:rsidR="009F46F2" w:rsidRDefault="009F46F2" w:rsidP="009F46F2">
      <w:pPr>
        <w:spacing w:after="0" w:line="276" w:lineRule="auto"/>
        <w:jc w:val="right"/>
        <w:rPr>
          <w:b/>
          <w:noProof/>
          <w:lang w:eastAsia="hr-HR"/>
        </w:rPr>
      </w:pPr>
    </w:p>
    <w:p w:rsidR="00CD4685" w:rsidRDefault="00CD4685" w:rsidP="00CA3A65">
      <w:pPr>
        <w:spacing w:line="240" w:lineRule="auto"/>
        <w:rPr>
          <w:noProof/>
          <w:lang w:eastAsia="hr-HR"/>
        </w:rPr>
      </w:pPr>
    </w:p>
    <w:p w:rsidR="009F46F2" w:rsidRDefault="009F46F2" w:rsidP="00CA3A65">
      <w:pPr>
        <w:spacing w:line="240" w:lineRule="auto"/>
        <w:jc w:val="center"/>
        <w:rPr>
          <w:b/>
          <w:noProof/>
          <w:lang w:eastAsia="hr-HR"/>
        </w:rPr>
      </w:pPr>
      <w:r>
        <w:rPr>
          <w:b/>
          <w:noProof/>
          <w:lang w:eastAsia="hr-HR"/>
        </w:rPr>
        <w:t>BILJEŠKE UZ GODIŠNJE FINANCIJSKO IZVJEŠĆE</w:t>
      </w:r>
    </w:p>
    <w:p w:rsidR="009F46F2" w:rsidRDefault="009F46F2" w:rsidP="009F46F2">
      <w:pPr>
        <w:spacing w:line="240" w:lineRule="auto"/>
        <w:jc w:val="center"/>
        <w:rPr>
          <w:b/>
          <w:noProof/>
          <w:lang w:eastAsia="hr-HR"/>
        </w:rPr>
      </w:pPr>
    </w:p>
    <w:p w:rsidR="009F46F2" w:rsidRDefault="00CB78EA" w:rsidP="009F46F2">
      <w:pPr>
        <w:spacing w:line="240" w:lineRule="auto"/>
        <w:jc w:val="center"/>
        <w:rPr>
          <w:b/>
          <w:noProof/>
          <w:lang w:eastAsia="hr-HR"/>
        </w:rPr>
      </w:pPr>
      <w:r>
        <w:rPr>
          <w:b/>
          <w:noProof/>
          <w:lang w:eastAsia="hr-HR"/>
        </w:rPr>
        <w:t>Razdoblje 01.01.2020. – 31.12.2020</w:t>
      </w:r>
      <w:r w:rsidR="009F46F2">
        <w:rPr>
          <w:b/>
          <w:noProof/>
          <w:lang w:eastAsia="hr-HR"/>
        </w:rPr>
        <w:t>.</w:t>
      </w:r>
    </w:p>
    <w:p w:rsidR="00BE2CD7" w:rsidRDefault="00BE2CD7" w:rsidP="005105A4">
      <w:pPr>
        <w:spacing w:line="240" w:lineRule="auto"/>
        <w:jc w:val="left"/>
        <w:rPr>
          <w:b/>
          <w:noProof/>
          <w:lang w:eastAsia="hr-HR"/>
        </w:rPr>
      </w:pPr>
    </w:p>
    <w:tbl>
      <w:tblPr>
        <w:tblStyle w:val="Reetkatablice"/>
        <w:tblW w:w="10490" w:type="dxa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BE2CD7" w:rsidTr="00BE2CD7">
        <w:trPr>
          <w:trHeight w:val="833"/>
          <w:jc w:val="center"/>
        </w:trPr>
        <w:tc>
          <w:tcPr>
            <w:tcW w:w="5245" w:type="dxa"/>
          </w:tcPr>
          <w:p w:rsidR="00BE2CD7" w:rsidRDefault="00CA3A65" w:rsidP="005105A4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Ukupni prihodi 2020</w:t>
            </w:r>
            <w:r w:rsidR="00BE2CD7">
              <w:rPr>
                <w:b/>
                <w:noProof/>
                <w:lang w:eastAsia="hr-HR"/>
              </w:rPr>
              <w:t>. godine</w:t>
            </w:r>
          </w:p>
        </w:tc>
        <w:tc>
          <w:tcPr>
            <w:tcW w:w="5245" w:type="dxa"/>
          </w:tcPr>
          <w:p w:rsidR="00BE2CD7" w:rsidRDefault="00BE2CD7" w:rsidP="005105A4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      </w:t>
            </w:r>
            <w:r w:rsidR="00DB5DDC">
              <w:rPr>
                <w:b/>
                <w:noProof/>
                <w:lang w:eastAsia="hr-HR"/>
              </w:rPr>
              <w:t xml:space="preserve">                      </w:t>
            </w:r>
            <w:r w:rsidR="00CB78EA">
              <w:rPr>
                <w:b/>
                <w:noProof/>
                <w:lang w:eastAsia="hr-HR"/>
              </w:rPr>
              <w:t>10.590.326,35</w:t>
            </w:r>
            <w:r w:rsidR="003D28C7">
              <w:rPr>
                <w:b/>
                <w:noProof/>
                <w:lang w:eastAsia="hr-HR"/>
              </w:rPr>
              <w:t xml:space="preserve"> kn</w:t>
            </w:r>
          </w:p>
        </w:tc>
      </w:tr>
      <w:tr w:rsidR="00BE2CD7" w:rsidTr="00BE2CD7">
        <w:trPr>
          <w:trHeight w:val="833"/>
          <w:jc w:val="center"/>
        </w:trPr>
        <w:tc>
          <w:tcPr>
            <w:tcW w:w="5245" w:type="dxa"/>
          </w:tcPr>
          <w:p w:rsidR="00BE2CD7" w:rsidRDefault="00CA3A65" w:rsidP="005105A4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Ukupni rashodi 2020</w:t>
            </w:r>
            <w:r w:rsidR="00BE2CD7">
              <w:rPr>
                <w:b/>
                <w:noProof/>
                <w:lang w:eastAsia="hr-HR"/>
              </w:rPr>
              <w:t>. godine</w:t>
            </w:r>
          </w:p>
        </w:tc>
        <w:tc>
          <w:tcPr>
            <w:tcW w:w="5245" w:type="dxa"/>
          </w:tcPr>
          <w:p w:rsidR="00BE2CD7" w:rsidRDefault="00CB78EA" w:rsidP="005A72B8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                            10.483.131,68</w:t>
            </w:r>
            <w:r w:rsidR="003D28C7">
              <w:rPr>
                <w:b/>
                <w:noProof/>
                <w:lang w:eastAsia="hr-HR"/>
              </w:rPr>
              <w:t xml:space="preserve"> kn</w:t>
            </w:r>
          </w:p>
        </w:tc>
      </w:tr>
      <w:tr w:rsidR="00BE2CD7" w:rsidTr="00BE2CD7">
        <w:trPr>
          <w:trHeight w:val="867"/>
          <w:jc w:val="center"/>
        </w:trPr>
        <w:tc>
          <w:tcPr>
            <w:tcW w:w="5245" w:type="dxa"/>
          </w:tcPr>
          <w:p w:rsidR="00BE2CD7" w:rsidRDefault="00CA3A65" w:rsidP="005105A4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Ukupan višak 2020</w:t>
            </w:r>
            <w:r w:rsidR="00DB5DDC">
              <w:rPr>
                <w:b/>
                <w:noProof/>
                <w:lang w:eastAsia="hr-HR"/>
              </w:rPr>
              <w:t xml:space="preserve">. godine </w:t>
            </w:r>
          </w:p>
        </w:tc>
        <w:tc>
          <w:tcPr>
            <w:tcW w:w="5245" w:type="dxa"/>
          </w:tcPr>
          <w:p w:rsidR="00BE2CD7" w:rsidRDefault="00DB5DDC" w:rsidP="005105A4">
            <w:pPr>
              <w:spacing w:line="240" w:lineRule="auto"/>
              <w:jc w:val="left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  </w:t>
            </w:r>
            <w:r w:rsidR="00CB78EA">
              <w:rPr>
                <w:b/>
                <w:noProof/>
                <w:lang w:eastAsia="hr-HR"/>
              </w:rPr>
              <w:t xml:space="preserve">                               107.194,67</w:t>
            </w:r>
            <w:r w:rsidR="003D28C7">
              <w:rPr>
                <w:b/>
                <w:noProof/>
                <w:lang w:eastAsia="hr-HR"/>
              </w:rPr>
              <w:t xml:space="preserve"> kn</w:t>
            </w:r>
          </w:p>
        </w:tc>
      </w:tr>
    </w:tbl>
    <w:p w:rsidR="00BE2CD7" w:rsidRDefault="00BE2CD7" w:rsidP="005105A4">
      <w:pPr>
        <w:spacing w:line="240" w:lineRule="auto"/>
        <w:jc w:val="left"/>
        <w:rPr>
          <w:b/>
          <w:noProof/>
          <w:lang w:eastAsia="hr-HR"/>
        </w:rPr>
      </w:pPr>
    </w:p>
    <w:p w:rsidR="00112519" w:rsidRDefault="00112519" w:rsidP="00BE2CD7">
      <w:pPr>
        <w:spacing w:after="0" w:line="276" w:lineRule="auto"/>
        <w:jc w:val="left"/>
        <w:rPr>
          <w:b/>
          <w:noProof/>
          <w:lang w:eastAsia="hr-HR"/>
        </w:rPr>
      </w:pPr>
    </w:p>
    <w:p w:rsidR="00DA3F60" w:rsidRDefault="00112519" w:rsidP="00BE2CD7">
      <w:pPr>
        <w:spacing w:after="0" w:line="276" w:lineRule="auto"/>
        <w:jc w:val="left"/>
        <w:rPr>
          <w:b/>
          <w:noProof/>
          <w:lang w:eastAsia="hr-HR"/>
        </w:rPr>
      </w:pPr>
      <w:r>
        <w:rPr>
          <w:b/>
          <w:noProof/>
          <w:lang w:eastAsia="hr-HR"/>
        </w:rPr>
        <w:t>BILJEŠKE UZ OBRAZAC PR-RAS</w:t>
      </w:r>
    </w:p>
    <w:p w:rsidR="003D28C7" w:rsidRDefault="003D28C7" w:rsidP="00BE2CD7">
      <w:pPr>
        <w:spacing w:after="0" w:line="276" w:lineRule="auto"/>
        <w:jc w:val="left"/>
        <w:rPr>
          <w:b/>
          <w:noProof/>
          <w:lang w:eastAsia="hr-HR"/>
        </w:rPr>
      </w:pPr>
    </w:p>
    <w:p w:rsidR="0020753B" w:rsidRDefault="0020753B" w:rsidP="0020753B">
      <w:pPr>
        <w:pStyle w:val="Odlomakpopisa"/>
        <w:numPr>
          <w:ilvl w:val="0"/>
          <w:numId w:val="4"/>
        </w:numPr>
        <w:spacing w:after="0" w:line="276" w:lineRule="auto"/>
        <w:jc w:val="left"/>
        <w:rPr>
          <w:b/>
          <w:bCs/>
          <w:noProof/>
          <w:lang w:eastAsia="hr-HR"/>
        </w:rPr>
      </w:pPr>
      <w:r>
        <w:rPr>
          <w:b/>
          <w:bCs/>
          <w:noProof/>
          <w:lang w:eastAsia="hr-HR"/>
        </w:rPr>
        <w:t>PRIHODI POSLOVANJA</w:t>
      </w:r>
    </w:p>
    <w:p w:rsidR="003D28C7" w:rsidRPr="0020753B" w:rsidRDefault="003D28C7" w:rsidP="0020753B">
      <w:pPr>
        <w:spacing w:after="0" w:line="276" w:lineRule="auto"/>
        <w:ind w:left="360"/>
        <w:jc w:val="left"/>
        <w:rPr>
          <w:b/>
          <w:bCs/>
          <w:noProof/>
          <w:lang w:eastAsia="hr-HR"/>
        </w:rPr>
      </w:pPr>
      <w:r w:rsidRPr="0020753B">
        <w:rPr>
          <w:b/>
          <w:bCs/>
          <w:noProof/>
          <w:lang w:eastAsia="hr-HR"/>
        </w:rPr>
        <w:t>AOP 001 – iznos : 10.590.326</w:t>
      </w:r>
      <w:r w:rsidR="00175F5C" w:rsidRPr="0020753B">
        <w:rPr>
          <w:b/>
          <w:bCs/>
          <w:noProof/>
          <w:lang w:eastAsia="hr-HR"/>
        </w:rPr>
        <w:t>,35 kn</w:t>
      </w:r>
    </w:p>
    <w:p w:rsidR="003D28C7" w:rsidRDefault="003D28C7" w:rsidP="003D28C7">
      <w:pPr>
        <w:spacing w:after="0" w:line="276" w:lineRule="auto"/>
        <w:ind w:left="360"/>
        <w:jc w:val="left"/>
        <w:rPr>
          <w:b/>
          <w:bCs/>
          <w:noProof/>
          <w:lang w:eastAsia="hr-HR"/>
        </w:rPr>
      </w:pPr>
    </w:p>
    <w:p w:rsidR="003D28C7" w:rsidRDefault="003D28C7" w:rsidP="003D28C7">
      <w:pPr>
        <w:spacing w:after="0" w:line="276" w:lineRule="auto"/>
        <w:ind w:left="360"/>
        <w:jc w:val="left"/>
        <w:rPr>
          <w:bCs/>
          <w:noProof/>
          <w:lang w:eastAsia="hr-HR"/>
        </w:rPr>
      </w:pPr>
      <w:r>
        <w:rPr>
          <w:bCs/>
          <w:noProof/>
          <w:lang w:eastAsia="hr-HR"/>
        </w:rPr>
        <w:t>Prihodi poslovanja razdoblja 2020. godine sastoje se:</w:t>
      </w:r>
    </w:p>
    <w:p w:rsidR="003D28C7" w:rsidRDefault="003D28C7" w:rsidP="003D28C7">
      <w:pPr>
        <w:spacing w:after="0" w:line="276" w:lineRule="auto"/>
        <w:ind w:left="360"/>
        <w:jc w:val="left"/>
        <w:rPr>
          <w:bCs/>
          <w:noProof/>
          <w:lang w:eastAsia="hr-HR"/>
        </w:rPr>
      </w:pPr>
    </w:p>
    <w:p w:rsidR="003D28C7" w:rsidRPr="00175F5C" w:rsidRDefault="003D28C7" w:rsidP="003D28C7">
      <w:pPr>
        <w:spacing w:after="0" w:line="276" w:lineRule="auto"/>
        <w:ind w:left="360"/>
        <w:jc w:val="left"/>
        <w:rPr>
          <w:b/>
          <w:bCs/>
          <w:noProof/>
          <w:lang w:eastAsia="hr-HR"/>
        </w:rPr>
      </w:pPr>
      <w:r w:rsidRPr="00175F5C">
        <w:rPr>
          <w:b/>
          <w:bCs/>
          <w:noProof/>
          <w:lang w:eastAsia="hr-HR"/>
        </w:rPr>
        <w:t>AOP 045</w:t>
      </w:r>
      <w:r w:rsidR="00175F5C">
        <w:rPr>
          <w:b/>
          <w:bCs/>
          <w:noProof/>
          <w:lang w:eastAsia="hr-HR"/>
        </w:rPr>
        <w:t>- Pomoći iz inozemstva i od subjekata unutar općeg proračuna</w:t>
      </w:r>
      <w:r w:rsidRPr="00175F5C">
        <w:rPr>
          <w:b/>
          <w:bCs/>
          <w:noProof/>
          <w:lang w:eastAsia="hr-HR"/>
        </w:rPr>
        <w:t xml:space="preserve"> : 9.516.426</w:t>
      </w:r>
      <w:r w:rsidR="00175F5C">
        <w:rPr>
          <w:b/>
          <w:bCs/>
          <w:noProof/>
          <w:lang w:eastAsia="hr-HR"/>
        </w:rPr>
        <w:t xml:space="preserve"> kn</w:t>
      </w:r>
    </w:p>
    <w:p w:rsidR="003D28C7" w:rsidRDefault="003D28C7" w:rsidP="003D28C7">
      <w:pPr>
        <w:spacing w:after="0" w:line="276" w:lineRule="auto"/>
        <w:ind w:left="360"/>
        <w:jc w:val="left"/>
        <w:rPr>
          <w:bCs/>
          <w:noProof/>
          <w:lang w:eastAsia="hr-HR"/>
        </w:rPr>
      </w:pPr>
    </w:p>
    <w:p w:rsidR="003D28C7" w:rsidRPr="006A4DAF" w:rsidRDefault="003D28C7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6A4DAF">
        <w:rPr>
          <w:bCs/>
          <w:noProof/>
          <w:u w:val="single"/>
          <w:lang w:eastAsia="hr-HR"/>
        </w:rPr>
        <w:t>AOP 057</w:t>
      </w:r>
      <w:r w:rsidR="00175F5C" w:rsidRPr="006A4DAF">
        <w:rPr>
          <w:bCs/>
          <w:noProof/>
          <w:u w:val="single"/>
          <w:lang w:eastAsia="hr-HR"/>
        </w:rPr>
        <w:t>- Pomoći od izvanproračunskih korisnika</w:t>
      </w:r>
      <w:r w:rsidRPr="006A4DAF">
        <w:rPr>
          <w:bCs/>
          <w:noProof/>
          <w:u w:val="single"/>
          <w:lang w:eastAsia="hr-HR"/>
        </w:rPr>
        <w:t>:  112.479</w:t>
      </w:r>
      <w:r w:rsidR="00175F5C" w:rsidRPr="006A4DAF">
        <w:rPr>
          <w:bCs/>
          <w:noProof/>
          <w:u w:val="single"/>
          <w:lang w:eastAsia="hr-HR"/>
        </w:rPr>
        <w:t>,64 kn</w:t>
      </w:r>
    </w:p>
    <w:p w:rsidR="003D28C7" w:rsidRDefault="003D28C7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Iznos od 112.479</w:t>
      </w:r>
      <w:r w:rsidR="00175F5C">
        <w:rPr>
          <w:bCs/>
          <w:noProof/>
          <w:lang w:eastAsia="hr-HR"/>
        </w:rPr>
        <w:t>,64 kn</w:t>
      </w:r>
      <w:r>
        <w:rPr>
          <w:bCs/>
          <w:noProof/>
          <w:lang w:eastAsia="hr-HR"/>
        </w:rPr>
        <w:t xml:space="preserve"> odnosi se na iznos koji je Hotelijersko- turistička i ugostiteljska škola dobila od Hrvatskog zavoda za zapošljavanje temeljem zaključenog Ugovora o sufinanciranju zapošljavanja za stjecanje prvog radnog iskustva/ pripravništva, u sklopu programa Mjera aktivne politike zapošljavanja, a putem kojih smo zaposlili pripravnicu na radno mjesto školskog psihologa u periodu od 01.12.2020 do 30.11.2021. </w:t>
      </w:r>
    </w:p>
    <w:p w:rsidR="00175F5C" w:rsidRDefault="00175F5C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U naznačenom iznosu nalazi se i 1.500,00 za isplatu božićnice pripravniku, također doznačeno od strane Hrvatskog zavoda za zapošljavanje.</w:t>
      </w:r>
    </w:p>
    <w:p w:rsidR="00175F5C" w:rsidRDefault="00175F5C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175F5C" w:rsidRPr="006A4DAF" w:rsidRDefault="00175F5C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6A4DAF">
        <w:rPr>
          <w:bCs/>
          <w:noProof/>
          <w:u w:val="single"/>
          <w:lang w:eastAsia="hr-HR"/>
        </w:rPr>
        <w:t>AOP 063- Pomoći proračunskim korisnicima iz proračuna koji im nije nadležan – 8.885.651,39</w:t>
      </w:r>
    </w:p>
    <w:p w:rsidR="00175F5C" w:rsidRDefault="00175F5C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Ovaj iznos odnosi se</w:t>
      </w:r>
      <w:r w:rsidR="00BB59F6">
        <w:rPr>
          <w:bCs/>
          <w:noProof/>
          <w:lang w:eastAsia="hr-HR"/>
        </w:rPr>
        <w:t xml:space="preserve"> na sredstva Državnog proračuna za isplatu bruto plaće i materijalnih prava za zaposlenike Hotelijersko- turističke i ugostiteljske škole Z</w:t>
      </w:r>
      <w:r w:rsidR="006A4DAF">
        <w:rPr>
          <w:bCs/>
          <w:noProof/>
          <w:lang w:eastAsia="hr-HR"/>
        </w:rPr>
        <w:t>adar u iznosu od 8.786.643,94kn</w:t>
      </w:r>
      <w:r w:rsidR="00BB59F6">
        <w:rPr>
          <w:bCs/>
          <w:noProof/>
          <w:lang w:eastAsia="hr-HR"/>
        </w:rPr>
        <w:t xml:space="preserve"> zatim dobivena </w:t>
      </w:r>
      <w:r w:rsidR="00BB59F6">
        <w:rPr>
          <w:bCs/>
          <w:noProof/>
          <w:lang w:eastAsia="hr-HR"/>
        </w:rPr>
        <w:lastRenderedPageBreak/>
        <w:t>namjenska sredstva za isplatu naknade za rad nastavnice njemačkog jezika na temelju Ugovora o kulturnoj suradnji između Vlade Republike Hrvatske i Vlade Savezne Republlike Njemačke</w:t>
      </w:r>
      <w:r w:rsidR="006A4DAF">
        <w:rPr>
          <w:bCs/>
          <w:noProof/>
          <w:lang w:eastAsia="hr-HR"/>
        </w:rPr>
        <w:t xml:space="preserve"> u ukupnom iznosu od 46.000,00kn</w:t>
      </w:r>
      <w:r w:rsidR="00BB59F6">
        <w:rPr>
          <w:bCs/>
          <w:noProof/>
          <w:lang w:eastAsia="hr-HR"/>
        </w:rPr>
        <w:t>, za isplatu troškova prijevoza djece s posebnim potrebama koji su učenici Škole</w:t>
      </w:r>
      <w:r w:rsidR="006A4DAF">
        <w:rPr>
          <w:bCs/>
          <w:noProof/>
          <w:lang w:eastAsia="hr-HR"/>
        </w:rPr>
        <w:t xml:space="preserve"> u iznosu od 21.844,50 kn</w:t>
      </w:r>
      <w:r w:rsidR="00BB59F6">
        <w:rPr>
          <w:bCs/>
          <w:noProof/>
          <w:lang w:eastAsia="hr-HR"/>
        </w:rPr>
        <w:t>, za sufinanciranje udžbenika za učenike u razredima deficitarnih zanimanja i učenike slabijeg socio-ekonomskog statusa</w:t>
      </w:r>
      <w:r w:rsidR="006A4DAF">
        <w:rPr>
          <w:bCs/>
          <w:noProof/>
          <w:lang w:eastAsia="hr-HR"/>
        </w:rPr>
        <w:t xml:space="preserve"> u iznosu od 4.612,95 kn </w:t>
      </w:r>
      <w:r w:rsidR="00BB59F6">
        <w:rPr>
          <w:bCs/>
          <w:noProof/>
          <w:lang w:eastAsia="hr-HR"/>
        </w:rPr>
        <w:t>, za nabavu tableta učenicima slabijeg socio-ekonomskog statusa</w:t>
      </w:r>
      <w:r w:rsidR="006A4DAF">
        <w:rPr>
          <w:bCs/>
          <w:noProof/>
          <w:lang w:eastAsia="hr-HR"/>
        </w:rPr>
        <w:t xml:space="preserve"> u iznosu od 24.000,00 kn, te za opremanje knjižnice literaturom u  iznosu od 3.550,00.</w:t>
      </w:r>
    </w:p>
    <w:p w:rsidR="006A4DAF" w:rsidRDefault="006A4DAF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6A4DAF" w:rsidRDefault="006A4DAF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>
        <w:rPr>
          <w:bCs/>
          <w:noProof/>
          <w:u w:val="single"/>
          <w:lang w:eastAsia="hr-HR"/>
        </w:rPr>
        <w:t>AOP 066 – Pomoći temeljem prijenosa EU sredstava – 479,972,00kn</w:t>
      </w:r>
    </w:p>
    <w:p w:rsidR="006A4DAF" w:rsidRDefault="006A4DAF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Sredstva se odnose na EU projekt Cooking tour koji se nastavio i u 2020. godini.</w:t>
      </w:r>
    </w:p>
    <w:p w:rsidR="00AE048D" w:rsidRDefault="00AE048D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AE048D" w:rsidRDefault="00AE048D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AE048D">
        <w:rPr>
          <w:bCs/>
          <w:noProof/>
          <w:u w:val="single"/>
          <w:lang w:eastAsia="hr-HR"/>
        </w:rPr>
        <w:t xml:space="preserve">AOP 072 – </w:t>
      </w:r>
      <w:r>
        <w:rPr>
          <w:bCs/>
          <w:noProof/>
          <w:u w:val="single"/>
          <w:lang w:eastAsia="hr-HR"/>
        </w:rPr>
        <w:t xml:space="preserve"> 38.324,30</w:t>
      </w:r>
    </w:p>
    <w:p w:rsidR="00AE048D" w:rsidRDefault="00AE048D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Zaključna isplata  Agencije za mobilnost i programe EU na kraju uspješno provedenog Erasmus + projekta KA219.</w:t>
      </w:r>
    </w:p>
    <w:p w:rsidR="00AE048D" w:rsidRDefault="00AE048D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AE048D" w:rsidRPr="00AE048D" w:rsidRDefault="00AE048D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AE048D">
        <w:rPr>
          <w:bCs/>
          <w:noProof/>
          <w:u w:val="single"/>
          <w:lang w:eastAsia="hr-HR"/>
        </w:rPr>
        <w:t>AOP 105 – Prihodi od administrativnih, upravnih pristojbi i pristojbi po posebnim propisima- 5.400,00</w:t>
      </w:r>
    </w:p>
    <w:p w:rsidR="00BB59F6" w:rsidRDefault="00AE048D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AE048D">
        <w:rPr>
          <w:bCs/>
          <w:noProof/>
          <w:u w:val="single"/>
          <w:lang w:eastAsia="hr-HR"/>
        </w:rPr>
        <w:t>AOP 123 – Prihodi od pruženih usluga – 13.901,00kn</w:t>
      </w:r>
    </w:p>
    <w:p w:rsidR="00AE048D" w:rsidRDefault="00AE048D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>
        <w:rPr>
          <w:bCs/>
          <w:noProof/>
          <w:u w:val="single"/>
          <w:lang w:eastAsia="hr-HR"/>
        </w:rPr>
        <w:t>AOP 127- Donacije od pravnih i fizičkih osoba izvan općeg proračuna – 2.260,</w:t>
      </w:r>
      <w:r w:rsidR="00FD5955">
        <w:rPr>
          <w:bCs/>
          <w:noProof/>
          <w:u w:val="single"/>
          <w:lang w:eastAsia="hr-HR"/>
        </w:rPr>
        <w:t>70</w:t>
      </w:r>
    </w:p>
    <w:p w:rsidR="00FD5955" w:rsidRDefault="00FD5955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 xml:space="preserve">Sredstva su doznačena temeljem Ugovora o donaciji između Hotelijersko-turističke i ugostiteljske škole Zadar i Hrvatskog društva učitelja i profesora njemačkog jezika, a radi rada na projektu </w:t>
      </w:r>
      <w:r w:rsidRPr="00FD5955">
        <w:rPr>
          <w:bCs/>
          <w:i/>
          <w:noProof/>
          <w:lang w:eastAsia="hr-HR"/>
        </w:rPr>
        <w:t xml:space="preserve">Jačanje vertikale u hrvatskom obrazovnom sustavu s obzirom na njemački kao strani jezik </w:t>
      </w:r>
      <w:r>
        <w:rPr>
          <w:bCs/>
          <w:noProof/>
          <w:lang w:eastAsia="hr-HR"/>
        </w:rPr>
        <w:t>koji je financiran sredstvima Ministarstva vanjskih poslova Savezne Republike Njemačke.</w:t>
      </w:r>
    </w:p>
    <w:p w:rsidR="00FD5955" w:rsidRDefault="00FD5955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FD5955" w:rsidRPr="00FD5955" w:rsidRDefault="00FD5955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FD5955">
        <w:rPr>
          <w:bCs/>
          <w:noProof/>
          <w:u w:val="single"/>
          <w:lang w:eastAsia="hr-HR"/>
        </w:rPr>
        <w:t>AOP 131- Prihodi iz nadležnog proračuna za financiranje redovne djelatnosti proračunskih korisnika –</w:t>
      </w:r>
    </w:p>
    <w:p w:rsidR="00FD5955" w:rsidRDefault="00FD5955" w:rsidP="00BB59F6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FD5955">
        <w:rPr>
          <w:bCs/>
          <w:noProof/>
          <w:u w:val="single"/>
          <w:lang w:eastAsia="hr-HR"/>
        </w:rPr>
        <w:t>1.054.598,67 kn</w:t>
      </w:r>
    </w:p>
    <w:p w:rsidR="00FD5955" w:rsidRDefault="0020753B" w:rsidP="00BB59F6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Iznos se odnosi na prihod iz nadležnog proračuna za financiranje rashoda poslovanja</w:t>
      </w:r>
    </w:p>
    <w:p w:rsidR="00112519" w:rsidRDefault="00112519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20753B" w:rsidRDefault="0020753B" w:rsidP="00BB59F6">
      <w:pPr>
        <w:spacing w:after="0" w:line="276" w:lineRule="auto"/>
        <w:ind w:left="360"/>
        <w:rPr>
          <w:bCs/>
          <w:noProof/>
          <w:lang w:eastAsia="hr-HR"/>
        </w:rPr>
      </w:pPr>
    </w:p>
    <w:p w:rsidR="0020753B" w:rsidRPr="0020753B" w:rsidRDefault="0020753B" w:rsidP="0020753B">
      <w:pPr>
        <w:pStyle w:val="Odlomakpopisa"/>
        <w:numPr>
          <w:ilvl w:val="0"/>
          <w:numId w:val="4"/>
        </w:numPr>
        <w:spacing w:after="0" w:line="276" w:lineRule="auto"/>
        <w:rPr>
          <w:b/>
          <w:bCs/>
          <w:noProof/>
          <w:lang w:eastAsia="hr-HR"/>
        </w:rPr>
      </w:pPr>
      <w:r w:rsidRPr="0020753B">
        <w:rPr>
          <w:b/>
          <w:bCs/>
          <w:noProof/>
          <w:lang w:eastAsia="hr-HR"/>
        </w:rPr>
        <w:t>RASHODI POSLOVANJA</w:t>
      </w:r>
    </w:p>
    <w:p w:rsidR="0020753B" w:rsidRDefault="0020753B" w:rsidP="0020753B">
      <w:pPr>
        <w:spacing w:after="0" w:line="276" w:lineRule="auto"/>
        <w:ind w:left="360"/>
        <w:rPr>
          <w:b/>
          <w:bCs/>
          <w:noProof/>
          <w:lang w:eastAsia="hr-HR"/>
        </w:rPr>
      </w:pPr>
      <w:r>
        <w:rPr>
          <w:b/>
          <w:bCs/>
          <w:noProof/>
          <w:lang w:eastAsia="hr-HR"/>
        </w:rPr>
        <w:t>AOP 148 – 1</w:t>
      </w:r>
      <w:r w:rsidR="00A2027F">
        <w:rPr>
          <w:b/>
          <w:bCs/>
          <w:noProof/>
          <w:lang w:eastAsia="hr-HR"/>
        </w:rPr>
        <w:t>0</w:t>
      </w:r>
      <w:r>
        <w:rPr>
          <w:b/>
          <w:bCs/>
          <w:noProof/>
          <w:lang w:eastAsia="hr-HR"/>
        </w:rPr>
        <w:t xml:space="preserve">.004.502,99 kn </w:t>
      </w:r>
    </w:p>
    <w:p w:rsidR="0020753B" w:rsidRDefault="0020753B" w:rsidP="0020753B">
      <w:pPr>
        <w:spacing w:after="0" w:line="276" w:lineRule="auto"/>
        <w:ind w:left="360"/>
        <w:rPr>
          <w:b/>
          <w:bCs/>
          <w:noProof/>
          <w:lang w:eastAsia="hr-HR"/>
        </w:rPr>
      </w:pPr>
    </w:p>
    <w:p w:rsidR="0020753B" w:rsidRDefault="00CA3A65" w:rsidP="00FB2933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CA3A65">
        <w:rPr>
          <w:bCs/>
          <w:noProof/>
          <w:lang w:eastAsia="hr-HR"/>
        </w:rPr>
        <w:t xml:space="preserve">  </w:t>
      </w:r>
      <w:r w:rsidR="00FB2933" w:rsidRPr="00FB2933">
        <w:rPr>
          <w:bCs/>
          <w:noProof/>
          <w:u w:val="single"/>
          <w:lang w:eastAsia="hr-HR"/>
        </w:rPr>
        <w:t>AOP 149 – Rashodi za zaposlene – 8.885.652,32 kn</w:t>
      </w:r>
    </w:p>
    <w:p w:rsidR="00FB2933" w:rsidRDefault="00FB2933" w:rsidP="00FB2933">
      <w:pPr>
        <w:spacing w:after="0" w:line="276" w:lineRule="auto"/>
        <w:ind w:left="708"/>
        <w:rPr>
          <w:bCs/>
          <w:noProof/>
          <w:lang w:eastAsia="hr-HR"/>
        </w:rPr>
      </w:pPr>
      <w:r w:rsidRPr="00FB2933">
        <w:rPr>
          <w:bCs/>
          <w:noProof/>
          <w:lang w:eastAsia="hr-HR"/>
        </w:rPr>
        <w:t xml:space="preserve">AOP 150 </w:t>
      </w:r>
      <w:r>
        <w:rPr>
          <w:bCs/>
          <w:noProof/>
          <w:lang w:eastAsia="hr-HR"/>
        </w:rPr>
        <w:t>- Bruto plaće – 7.383.056,48 kn</w:t>
      </w:r>
    </w:p>
    <w:p w:rsidR="00FB2933" w:rsidRDefault="00FB2933" w:rsidP="00FB2933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155- Ostali rashodi za zaposlene – 283.297,14 kn</w:t>
      </w:r>
    </w:p>
    <w:p w:rsidR="00FB2933" w:rsidRDefault="00FB2933" w:rsidP="00FB2933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156 – Doprinosi na plaće – 1.219.298,70 kn</w:t>
      </w:r>
    </w:p>
    <w:p w:rsidR="00FB2933" w:rsidRDefault="00FB2933" w:rsidP="00FB2933">
      <w:pPr>
        <w:spacing w:after="0" w:line="276" w:lineRule="auto"/>
        <w:ind w:left="360"/>
        <w:rPr>
          <w:bCs/>
          <w:noProof/>
          <w:u w:val="single"/>
          <w:lang w:eastAsia="hr-HR"/>
        </w:rPr>
      </w:pPr>
    </w:p>
    <w:p w:rsidR="00FB2933" w:rsidRDefault="00CA3A65" w:rsidP="00FB2933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CA3A65">
        <w:rPr>
          <w:bCs/>
          <w:noProof/>
          <w:lang w:eastAsia="hr-HR"/>
        </w:rPr>
        <w:t xml:space="preserve">  </w:t>
      </w:r>
      <w:r w:rsidR="00FB2933" w:rsidRPr="00FB2933">
        <w:rPr>
          <w:bCs/>
          <w:noProof/>
          <w:u w:val="single"/>
          <w:lang w:eastAsia="hr-HR"/>
        </w:rPr>
        <w:t>AOP 160- Materijalni rashodi – 1.118.850,67 kn</w:t>
      </w:r>
    </w:p>
    <w:p w:rsidR="00FB2933" w:rsidRDefault="00FB2933" w:rsidP="00FB2933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 xml:space="preserve">AOP 161- Naknade troškova zaposlenima </w:t>
      </w:r>
      <w:r w:rsidR="00A2027F">
        <w:rPr>
          <w:bCs/>
          <w:noProof/>
          <w:lang w:eastAsia="hr-HR"/>
        </w:rPr>
        <w:t>– 250.083,59 kn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( Sastoji se od naknade prijevoza zaposlenicima, stručnog usavršavanja i službenih putovanja)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166- Rashodi za materijal i energiju – 369.834,12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174 – Rashodi za usluge – 359.488,68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185 – Ostali nespomenuti rashodi poslovanja – 132.069,55 kn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Indeks u odnosu na prošlu godinu iznosi 56,9% što ukazuje na značajan pad ostalih rashoda poslovanja.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</w:p>
    <w:p w:rsidR="00A2027F" w:rsidRDefault="00A2027F" w:rsidP="00A2027F">
      <w:pPr>
        <w:spacing w:after="0" w:line="276" w:lineRule="auto"/>
        <w:ind w:left="708"/>
        <w:rPr>
          <w:b/>
          <w:bCs/>
          <w:noProof/>
          <w:lang w:eastAsia="hr-HR"/>
        </w:rPr>
      </w:pPr>
      <w:r>
        <w:rPr>
          <w:b/>
          <w:bCs/>
          <w:noProof/>
          <w:lang w:eastAsia="hr-HR"/>
        </w:rPr>
        <w:t>AOP 404 - Ukupni rashodi poslovanja (AOP 281+ AOP 341) – 10.</w:t>
      </w:r>
      <w:r w:rsidR="00033579">
        <w:rPr>
          <w:b/>
          <w:bCs/>
          <w:noProof/>
          <w:lang w:eastAsia="hr-HR"/>
        </w:rPr>
        <w:t>483.</w:t>
      </w:r>
      <w:r>
        <w:rPr>
          <w:b/>
          <w:bCs/>
          <w:noProof/>
          <w:lang w:eastAsia="hr-HR"/>
        </w:rPr>
        <w:t>13</w:t>
      </w:r>
      <w:r w:rsidR="00033579">
        <w:rPr>
          <w:b/>
          <w:bCs/>
          <w:noProof/>
          <w:lang w:eastAsia="hr-HR"/>
        </w:rPr>
        <w:t>1,68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AOP 148 – Rashodi poslovanja – 10.004.502,99 kn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lastRenderedPageBreak/>
        <w:t>AOP 341 – Rashodi za nabavu nefinancijske imovine – 478.628,69 kn</w:t>
      </w:r>
    </w:p>
    <w:p w:rsidR="00033579" w:rsidRDefault="00033579" w:rsidP="008438C0">
      <w:pPr>
        <w:spacing w:after="0" w:line="276" w:lineRule="auto"/>
        <w:ind w:left="708"/>
        <w:rPr>
          <w:bCs/>
          <w:noProof/>
          <w:lang w:eastAsia="hr-HR"/>
        </w:rPr>
      </w:pPr>
    </w:p>
    <w:p w:rsidR="00033579" w:rsidRDefault="00033579" w:rsidP="008438C0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U 2020. godini potrošena su sredstva u iznosu od 55.800,00kn doznačena od strane Ministarstva znanosti i obrazovanja u 2019. godini u svrhu nabave opreme i nastavnih materijala u sklopu Kurikularne reforme, prema Odluci o dodijeli sredstava osnovnim i srednjim školama za nabavu nastavnih sredstava i opreme potrebnih za provedbu kurikuluma, KLASA: 602-01719-01/00168, URBROJ: 533-06-19-0098, te su nabavljena su potrebna pomagala, oprema i uređaju, te literatura za nastavu. Nabavljeni su i tableti, također sredstvima</w:t>
      </w:r>
      <w:r w:rsidR="00252593">
        <w:rPr>
          <w:bCs/>
          <w:noProof/>
          <w:lang w:eastAsia="hr-HR"/>
        </w:rPr>
        <w:t xml:space="preserve"> u </w:t>
      </w:r>
      <w:r>
        <w:rPr>
          <w:bCs/>
          <w:noProof/>
          <w:lang w:eastAsia="hr-HR"/>
        </w:rPr>
        <w:t xml:space="preserve"> doznačenim</w:t>
      </w:r>
      <w:r w:rsidR="00252593">
        <w:rPr>
          <w:bCs/>
          <w:noProof/>
          <w:lang w:eastAsia="hr-HR"/>
        </w:rPr>
        <w:t xml:space="preserve"> u prosincu </w:t>
      </w:r>
      <w:r>
        <w:rPr>
          <w:bCs/>
          <w:noProof/>
          <w:lang w:eastAsia="hr-HR"/>
        </w:rPr>
        <w:t xml:space="preserve"> 2019. godine </w:t>
      </w:r>
      <w:r w:rsidR="00252593">
        <w:rPr>
          <w:bCs/>
          <w:noProof/>
          <w:lang w:eastAsia="hr-HR"/>
        </w:rPr>
        <w:t>od strane Ministarstva znanosti i obrazovanja prema Odluci o dodjeli sredstava srednjim školama za nabavu tableta učenicima slabijeg socioekonomskog statusa, KLASA : 602-03/19-08/00793, URBROJ: 533-06-20-0013 u iznosu od 10.500,00, kao i tableti sredstvima doznačenima 2020. godine u iznosu od 24.000, 00kn, također prema odluci Ministarstva znanosti i obrazovanja ( KLASA: 602-03/19-08/00793, URBROJ: 533-06-20-0013). Sva namjenska sredstva su potrošena prema uputama u navedenim odlukama, savjesno evidentirana, te je zajedno sa svom dokumentacijom poslan izvještaj Ministarstvu znanosti i obrazovanja.</w:t>
      </w:r>
    </w:p>
    <w:p w:rsidR="00252593" w:rsidRDefault="00252593" w:rsidP="008438C0">
      <w:pPr>
        <w:spacing w:after="0" w:line="276" w:lineRule="auto"/>
        <w:ind w:left="708"/>
        <w:rPr>
          <w:bCs/>
          <w:noProof/>
          <w:lang w:eastAsia="hr-HR"/>
        </w:rPr>
      </w:pPr>
    </w:p>
    <w:p w:rsidR="00252593" w:rsidRDefault="00252593" w:rsidP="008438C0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 xml:space="preserve">U sklopu </w:t>
      </w:r>
      <w:r w:rsidR="00CA3A65">
        <w:rPr>
          <w:bCs/>
          <w:noProof/>
          <w:lang w:eastAsia="hr-HR"/>
        </w:rPr>
        <w:t xml:space="preserve">EU </w:t>
      </w:r>
      <w:r>
        <w:rPr>
          <w:bCs/>
          <w:noProof/>
          <w:lang w:eastAsia="hr-HR"/>
        </w:rPr>
        <w:t>projekta Cooking tour kupljena je oprema u vrijednosti od 258.848,30kn.</w:t>
      </w:r>
    </w:p>
    <w:p w:rsidR="00252593" w:rsidRDefault="00252593" w:rsidP="008438C0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Temeljem dokumenta o prijenosu vlasništva, a prema Ugovoru projekta UP.02</w:t>
      </w:r>
      <w:r w:rsidR="008438C0">
        <w:rPr>
          <w:bCs/>
          <w:noProof/>
          <w:lang w:eastAsia="hr-HR"/>
        </w:rPr>
        <w:t>.2.2.03.0058, a u skladu s člankom 9.3. Općih uvjeta potpisanog ugovora o dodjeli bespovratnih sredstava, a koji određuje mogućnost da se oprema projekta financirana iz proračuna Projekta može prenijeti naprojektne partnere, pri čemu svrha prenesene opreme ostaje neizmjenjena u odnosu na namjenu definiranu Ugovorom, preneseno</w:t>
      </w:r>
      <w:r>
        <w:rPr>
          <w:bCs/>
          <w:noProof/>
          <w:lang w:eastAsia="hr-HR"/>
        </w:rPr>
        <w:t xml:space="preserve"> je</w:t>
      </w:r>
      <w:r w:rsidR="008438C0">
        <w:rPr>
          <w:bCs/>
          <w:noProof/>
          <w:lang w:eastAsia="hr-HR"/>
        </w:rPr>
        <w:t xml:space="preserve"> vlasništvo</w:t>
      </w:r>
      <w:r>
        <w:rPr>
          <w:bCs/>
          <w:noProof/>
          <w:lang w:eastAsia="hr-HR"/>
        </w:rPr>
        <w:t xml:space="preserve"> uređaj Pac</w:t>
      </w:r>
      <w:r w:rsidR="008438C0">
        <w:rPr>
          <w:bCs/>
          <w:noProof/>
          <w:lang w:eastAsia="hr-HR"/>
        </w:rPr>
        <w:t>ojet projektnom partneru Punta Skala d.o.o., u iznosu od 33.687,50 kn nabavne cijene.</w:t>
      </w:r>
    </w:p>
    <w:p w:rsidR="008438C0" w:rsidRDefault="008438C0" w:rsidP="008438C0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>Promjena obujma imovine prikazana je i u PVRIO obrascu u završnom izvješću, AOP 020.</w:t>
      </w:r>
    </w:p>
    <w:p w:rsidR="008438C0" w:rsidRDefault="008438C0" w:rsidP="008438C0">
      <w:pPr>
        <w:spacing w:after="0" w:line="276" w:lineRule="auto"/>
        <w:ind w:left="708"/>
        <w:rPr>
          <w:bCs/>
          <w:noProof/>
          <w:lang w:eastAsia="hr-HR"/>
        </w:rPr>
      </w:pPr>
    </w:p>
    <w:p w:rsidR="008438C0" w:rsidRDefault="008438C0" w:rsidP="008438C0">
      <w:pPr>
        <w:spacing w:after="0" w:line="276" w:lineRule="auto"/>
        <w:ind w:left="708"/>
        <w:rPr>
          <w:bCs/>
          <w:noProof/>
          <w:lang w:eastAsia="hr-HR"/>
        </w:rPr>
      </w:pPr>
      <w:r>
        <w:rPr>
          <w:bCs/>
          <w:noProof/>
          <w:lang w:eastAsia="hr-HR"/>
        </w:rPr>
        <w:t xml:space="preserve">Škola je također putem javne nabave, opremila informatičke učionice računalima u iznosu od 62.250,00kn, te klima uređajima u vrijednosti od 33.592,80kn. </w:t>
      </w:r>
    </w:p>
    <w:p w:rsidR="00A2027F" w:rsidRDefault="00A2027F" w:rsidP="00A2027F">
      <w:pPr>
        <w:spacing w:after="0" w:line="276" w:lineRule="auto"/>
        <w:ind w:left="708"/>
        <w:rPr>
          <w:bCs/>
          <w:noProof/>
          <w:lang w:eastAsia="hr-HR"/>
        </w:rPr>
      </w:pPr>
    </w:p>
    <w:p w:rsidR="00033579" w:rsidRDefault="00033579" w:rsidP="008438C0">
      <w:pPr>
        <w:pStyle w:val="Odlomakpopisa"/>
        <w:numPr>
          <w:ilvl w:val="0"/>
          <w:numId w:val="4"/>
        </w:numPr>
        <w:spacing w:after="0" w:line="276" w:lineRule="auto"/>
        <w:rPr>
          <w:b/>
          <w:bCs/>
          <w:noProof/>
          <w:lang w:eastAsia="hr-HR"/>
        </w:rPr>
      </w:pPr>
      <w:r w:rsidRPr="008438C0">
        <w:rPr>
          <w:b/>
          <w:bCs/>
          <w:noProof/>
          <w:lang w:eastAsia="hr-HR"/>
        </w:rPr>
        <w:t xml:space="preserve">BILJEŠKE UZ </w:t>
      </w:r>
      <w:r w:rsidR="00112519">
        <w:rPr>
          <w:b/>
          <w:bCs/>
          <w:noProof/>
          <w:lang w:eastAsia="hr-HR"/>
        </w:rPr>
        <w:t xml:space="preserve"> OBRAZAC </w:t>
      </w:r>
      <w:r w:rsidRPr="008438C0">
        <w:rPr>
          <w:b/>
          <w:bCs/>
          <w:noProof/>
          <w:lang w:eastAsia="hr-HR"/>
        </w:rPr>
        <w:t>RAS- FUNKCIJSKI</w:t>
      </w:r>
    </w:p>
    <w:p w:rsidR="008438C0" w:rsidRDefault="008438C0" w:rsidP="008438C0">
      <w:pPr>
        <w:spacing w:after="0" w:line="276" w:lineRule="auto"/>
        <w:ind w:left="360"/>
        <w:rPr>
          <w:b/>
          <w:bCs/>
          <w:noProof/>
          <w:lang w:eastAsia="hr-HR"/>
        </w:rPr>
      </w:pPr>
    </w:p>
    <w:p w:rsidR="008438C0" w:rsidRDefault="008438C0" w:rsidP="008438C0">
      <w:pPr>
        <w:pStyle w:val="Odlomakpopisa"/>
        <w:numPr>
          <w:ilvl w:val="0"/>
          <w:numId w:val="5"/>
        </w:numPr>
        <w:spacing w:after="0" w:line="276" w:lineRule="auto"/>
        <w:rPr>
          <w:bCs/>
          <w:noProof/>
          <w:lang w:eastAsia="hr-HR"/>
        </w:rPr>
      </w:pPr>
      <w:r>
        <w:rPr>
          <w:bCs/>
          <w:noProof/>
          <w:lang w:eastAsia="hr-HR"/>
        </w:rPr>
        <w:t>AOP 110 – Više srednjoškolsko obrazovanje iznosi 10.483.131,68 kn</w:t>
      </w:r>
    </w:p>
    <w:p w:rsidR="008438C0" w:rsidRDefault="008438C0" w:rsidP="008438C0">
      <w:pPr>
        <w:spacing w:after="0" w:line="276" w:lineRule="auto"/>
        <w:ind w:left="360"/>
        <w:rPr>
          <w:bCs/>
          <w:noProof/>
          <w:lang w:eastAsia="hr-HR"/>
        </w:rPr>
      </w:pPr>
    </w:p>
    <w:p w:rsidR="008438C0" w:rsidRDefault="00112519" w:rsidP="00112519">
      <w:pPr>
        <w:pStyle w:val="Odlomakpopisa"/>
        <w:numPr>
          <w:ilvl w:val="0"/>
          <w:numId w:val="4"/>
        </w:numPr>
        <w:spacing w:after="0" w:line="276" w:lineRule="auto"/>
        <w:rPr>
          <w:b/>
          <w:bCs/>
          <w:noProof/>
          <w:lang w:eastAsia="hr-HR"/>
        </w:rPr>
      </w:pPr>
      <w:r>
        <w:rPr>
          <w:b/>
          <w:bCs/>
          <w:noProof/>
          <w:lang w:eastAsia="hr-HR"/>
        </w:rPr>
        <w:t>BILJEŠKE UZ OBRAZAC OBVEZE</w:t>
      </w:r>
    </w:p>
    <w:p w:rsidR="00112519" w:rsidRDefault="00112519" w:rsidP="00112519">
      <w:pPr>
        <w:spacing w:after="0" w:line="276" w:lineRule="auto"/>
        <w:rPr>
          <w:b/>
          <w:bCs/>
          <w:noProof/>
          <w:lang w:eastAsia="hr-HR"/>
        </w:rPr>
      </w:pPr>
    </w:p>
    <w:p w:rsidR="00112519" w:rsidRDefault="00112519" w:rsidP="00112519">
      <w:pPr>
        <w:spacing w:after="0" w:line="276" w:lineRule="auto"/>
        <w:ind w:left="360"/>
        <w:rPr>
          <w:bCs/>
          <w:noProof/>
          <w:u w:val="single"/>
          <w:lang w:eastAsia="hr-HR"/>
        </w:rPr>
      </w:pPr>
      <w:r w:rsidRPr="00112519">
        <w:rPr>
          <w:bCs/>
          <w:noProof/>
          <w:u w:val="single"/>
          <w:lang w:eastAsia="hr-HR"/>
        </w:rPr>
        <w:t xml:space="preserve">AOP 036 – Stanje obveza na kraju izvještajnog razdoblja </w:t>
      </w:r>
      <w:r>
        <w:rPr>
          <w:bCs/>
          <w:noProof/>
          <w:u w:val="single"/>
          <w:lang w:eastAsia="hr-HR"/>
        </w:rPr>
        <w:t>– 773.381,22</w:t>
      </w:r>
    </w:p>
    <w:p w:rsidR="00112519" w:rsidRDefault="00112519" w:rsidP="00112519">
      <w:pPr>
        <w:spacing w:after="0" w:line="276" w:lineRule="auto"/>
        <w:ind w:left="360"/>
        <w:rPr>
          <w:bCs/>
          <w:noProof/>
          <w:lang w:eastAsia="hr-HR"/>
        </w:rPr>
      </w:pPr>
      <w:r>
        <w:rPr>
          <w:bCs/>
          <w:noProof/>
          <w:lang w:eastAsia="hr-HR"/>
        </w:rPr>
        <w:t>Obveze se odnose na obveze za bruto plaće i doprinosa zaposlenika Škole za 12/2020, čija je isplata u siječnju te obveze za isplatu plaće i prijevoza s posla i na posao pripravnici (Mjere pripravništva HZZ) za 12. mjesec, te isplatu plaće Pomoćnicima u nastavi također za 12. mjesec.</w:t>
      </w:r>
    </w:p>
    <w:p w:rsidR="00112519" w:rsidRDefault="00112519" w:rsidP="00112519">
      <w:pPr>
        <w:spacing w:after="0" w:line="276" w:lineRule="auto"/>
        <w:rPr>
          <w:bCs/>
          <w:noProof/>
          <w:lang w:eastAsia="hr-HR"/>
        </w:rPr>
      </w:pPr>
    </w:p>
    <w:p w:rsidR="00112519" w:rsidRPr="00112519" w:rsidRDefault="00112519" w:rsidP="00112519">
      <w:pPr>
        <w:spacing w:after="0" w:line="276" w:lineRule="auto"/>
        <w:rPr>
          <w:bCs/>
          <w:noProof/>
          <w:lang w:eastAsia="hr-HR"/>
        </w:rPr>
      </w:pPr>
    </w:p>
    <w:p w:rsidR="003C746D" w:rsidRDefault="003C746D" w:rsidP="00BE2CD7">
      <w:pPr>
        <w:spacing w:after="0" w:line="276" w:lineRule="auto"/>
        <w:jc w:val="left"/>
        <w:rPr>
          <w:bCs/>
          <w:noProof/>
          <w:lang w:eastAsia="hr-HR"/>
        </w:rPr>
      </w:pPr>
    </w:p>
    <w:p w:rsidR="003C746D" w:rsidRDefault="003C746D" w:rsidP="00CA3A65">
      <w:pPr>
        <w:spacing w:after="0" w:line="276" w:lineRule="auto"/>
        <w:jc w:val="right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Ravnateljica </w:t>
      </w:r>
    </w:p>
    <w:p w:rsidR="003C746D" w:rsidRPr="003C746D" w:rsidRDefault="003C746D" w:rsidP="003C746D">
      <w:pPr>
        <w:spacing w:after="0" w:line="276" w:lineRule="auto"/>
        <w:jc w:val="right"/>
        <w:rPr>
          <w:b/>
          <w:noProof/>
          <w:lang w:eastAsia="hr-HR"/>
        </w:rPr>
      </w:pPr>
      <w:r>
        <w:rPr>
          <w:b/>
          <w:noProof/>
          <w:lang w:eastAsia="hr-HR"/>
        </w:rPr>
        <w:t>Diana Radić Škara, prof</w:t>
      </w:r>
      <w:r w:rsidR="00A17268">
        <w:rPr>
          <w:b/>
          <w:noProof/>
          <w:lang w:eastAsia="hr-HR"/>
        </w:rPr>
        <w:t>.</w:t>
      </w:r>
    </w:p>
    <w:p w:rsidR="00BE2CD7" w:rsidRDefault="00BE2CD7" w:rsidP="00BE2CD7">
      <w:pPr>
        <w:spacing w:after="0" w:line="276" w:lineRule="auto"/>
        <w:jc w:val="left"/>
        <w:rPr>
          <w:bCs/>
          <w:noProof/>
          <w:lang w:eastAsia="hr-HR"/>
        </w:rPr>
      </w:pPr>
    </w:p>
    <w:p w:rsidR="00BE2CD7" w:rsidRDefault="00BE2CD7" w:rsidP="00BE2CD7">
      <w:pPr>
        <w:spacing w:after="0" w:line="276" w:lineRule="auto"/>
        <w:jc w:val="left"/>
        <w:rPr>
          <w:bCs/>
          <w:noProof/>
          <w:lang w:eastAsia="hr-HR"/>
        </w:rPr>
      </w:pPr>
    </w:p>
    <w:p w:rsidR="00BE2CD7" w:rsidRPr="00BE2CD7" w:rsidRDefault="00BE2CD7" w:rsidP="00BE2CD7">
      <w:pPr>
        <w:spacing w:after="0" w:line="276" w:lineRule="auto"/>
        <w:jc w:val="left"/>
        <w:rPr>
          <w:b/>
          <w:noProof/>
          <w:lang w:eastAsia="hr-HR"/>
        </w:rPr>
      </w:pPr>
      <w:r>
        <w:rPr>
          <w:b/>
          <w:noProof/>
          <w:lang w:eastAsia="hr-HR"/>
        </w:rPr>
        <w:lastRenderedPageBreak/>
        <w:t xml:space="preserve">                                                                      </w:t>
      </w:r>
      <w:r w:rsidRPr="00BE2CD7">
        <w:rPr>
          <w:b/>
          <w:noProof/>
          <w:lang w:eastAsia="hr-HR"/>
        </w:rPr>
        <w:t xml:space="preserve">                                                                   </w:t>
      </w:r>
    </w:p>
    <w:p w:rsidR="00FC40AC" w:rsidRPr="00FC40AC" w:rsidRDefault="00FC40AC" w:rsidP="00FC40AC">
      <w:pPr>
        <w:spacing w:line="276" w:lineRule="auto"/>
        <w:ind w:left="360"/>
        <w:jc w:val="left"/>
        <w:rPr>
          <w:b/>
          <w:noProof/>
          <w:lang w:eastAsia="hr-HR"/>
        </w:rPr>
      </w:pPr>
    </w:p>
    <w:p w:rsidR="009A5D07" w:rsidRPr="009A5D07" w:rsidRDefault="009A5D07" w:rsidP="00FC40AC">
      <w:pPr>
        <w:spacing w:line="276" w:lineRule="auto"/>
        <w:ind w:left="360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A5D07" w:rsidRPr="005105A4" w:rsidRDefault="009A5D07" w:rsidP="005105A4">
      <w:pPr>
        <w:pStyle w:val="Odlomakpopisa"/>
        <w:spacing w:line="240" w:lineRule="auto"/>
        <w:jc w:val="left"/>
        <w:rPr>
          <w:noProof/>
          <w:lang w:eastAsia="hr-HR"/>
        </w:rPr>
      </w:pPr>
    </w:p>
    <w:p w:rsidR="009F46F2" w:rsidRDefault="009F46F2" w:rsidP="009F46F2">
      <w:pPr>
        <w:spacing w:line="240" w:lineRule="auto"/>
        <w:jc w:val="center"/>
        <w:rPr>
          <w:b/>
          <w:noProof/>
          <w:lang w:eastAsia="hr-HR"/>
        </w:rPr>
      </w:pPr>
    </w:p>
    <w:p w:rsidR="009F46F2" w:rsidRPr="009F46F2" w:rsidRDefault="009F46F2" w:rsidP="009F46F2">
      <w:pPr>
        <w:spacing w:line="240" w:lineRule="auto"/>
        <w:rPr>
          <w:noProof/>
          <w:lang w:eastAsia="hr-HR"/>
        </w:rPr>
      </w:pPr>
    </w:p>
    <w:p w:rsidR="00CD4685" w:rsidRPr="00CD4685" w:rsidRDefault="00CD4685" w:rsidP="00CD4685">
      <w:pPr>
        <w:spacing w:after="0"/>
        <w:ind w:left="-567" w:right="-426"/>
        <w:rPr>
          <w:rFonts w:cs="Times New Roman"/>
          <w:b/>
          <w:noProof/>
          <w:lang w:eastAsia="hr-HR"/>
        </w:rPr>
      </w:pPr>
    </w:p>
    <w:sectPr w:rsidR="00CD4685" w:rsidRPr="00CD4685" w:rsidSect="0096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B2C"/>
    <w:multiLevelType w:val="hybridMultilevel"/>
    <w:tmpl w:val="AFCA4B86"/>
    <w:lvl w:ilvl="0" w:tplc="C338B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188"/>
    <w:multiLevelType w:val="hybridMultilevel"/>
    <w:tmpl w:val="B34A9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5115"/>
    <w:multiLevelType w:val="hybridMultilevel"/>
    <w:tmpl w:val="0DCCB664"/>
    <w:lvl w:ilvl="0" w:tplc="CBC25366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5403"/>
    <w:multiLevelType w:val="hybridMultilevel"/>
    <w:tmpl w:val="0CEE5FB0"/>
    <w:lvl w:ilvl="0" w:tplc="C58868D4">
      <w:start w:val="10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0267"/>
    <w:multiLevelType w:val="hybridMultilevel"/>
    <w:tmpl w:val="FA1E0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5"/>
    <w:rsid w:val="00006D3C"/>
    <w:rsid w:val="00033579"/>
    <w:rsid w:val="00112519"/>
    <w:rsid w:val="00154E5A"/>
    <w:rsid w:val="001557BB"/>
    <w:rsid w:val="00175F5C"/>
    <w:rsid w:val="0020753B"/>
    <w:rsid w:val="00252593"/>
    <w:rsid w:val="003A03F5"/>
    <w:rsid w:val="003A3878"/>
    <w:rsid w:val="003C746D"/>
    <w:rsid w:val="003D28C7"/>
    <w:rsid w:val="005105A4"/>
    <w:rsid w:val="00531356"/>
    <w:rsid w:val="005A72B8"/>
    <w:rsid w:val="00644DF3"/>
    <w:rsid w:val="006839CD"/>
    <w:rsid w:val="006A4DAF"/>
    <w:rsid w:val="006E5B7B"/>
    <w:rsid w:val="006F3BC8"/>
    <w:rsid w:val="008438C0"/>
    <w:rsid w:val="00852747"/>
    <w:rsid w:val="008C006F"/>
    <w:rsid w:val="009201D3"/>
    <w:rsid w:val="00961323"/>
    <w:rsid w:val="009A5D07"/>
    <w:rsid w:val="009A6214"/>
    <w:rsid w:val="009F46F2"/>
    <w:rsid w:val="00A17268"/>
    <w:rsid w:val="00A2027F"/>
    <w:rsid w:val="00A6362E"/>
    <w:rsid w:val="00AE048D"/>
    <w:rsid w:val="00B825B4"/>
    <w:rsid w:val="00B930B6"/>
    <w:rsid w:val="00BB59F6"/>
    <w:rsid w:val="00BE2CD7"/>
    <w:rsid w:val="00CA3A65"/>
    <w:rsid w:val="00CB78EA"/>
    <w:rsid w:val="00CD4685"/>
    <w:rsid w:val="00D55CBB"/>
    <w:rsid w:val="00DA3F60"/>
    <w:rsid w:val="00DB5DDC"/>
    <w:rsid w:val="00F75DFE"/>
    <w:rsid w:val="00FB2933"/>
    <w:rsid w:val="00FC40AC"/>
    <w:rsid w:val="00FD5955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BB09-6DE9-4F6D-B86E-BFAA79B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85"/>
    <w:pPr>
      <w:spacing w:line="360" w:lineRule="auto"/>
      <w:jc w:val="both"/>
    </w:pPr>
    <w:rPr>
      <w:rFonts w:asciiTheme="majorHAnsi" w:hAnsiTheme="majorHAns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68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05A4"/>
    <w:pPr>
      <w:ind w:left="720"/>
      <w:contextualSpacing/>
    </w:pPr>
  </w:style>
  <w:style w:type="table" w:styleId="Reetkatablice">
    <w:name w:val="Table Grid"/>
    <w:basedOn w:val="Obinatablica"/>
    <w:uiPriority w:val="39"/>
    <w:rsid w:val="00B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us@htus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Windows korisnik</cp:lastModifiedBy>
  <cp:revision>2</cp:revision>
  <cp:lastPrinted>2021-01-28T12:24:00Z</cp:lastPrinted>
  <dcterms:created xsi:type="dcterms:W3CDTF">2021-02-05T08:32:00Z</dcterms:created>
  <dcterms:modified xsi:type="dcterms:W3CDTF">2021-02-05T08:32:00Z</dcterms:modified>
</cp:coreProperties>
</file>